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0616" w14:textId="77777777" w:rsidR="00700F2A" w:rsidRDefault="00272ACA" w:rsidP="00AE7298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>Telehealth and Cybersecurity:</w:t>
      </w:r>
      <w:r w:rsidR="00EF1342"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47E87E6B" w14:textId="2D2F377A" w:rsidR="00414135" w:rsidRPr="00700F2A" w:rsidRDefault="00367DDA" w:rsidP="00AE7298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>Is Your C</w:t>
      </w:r>
      <w:r w:rsidR="00272ACA"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risis </w:t>
      </w:r>
      <w:r w:rsidR="000B530D"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Solution </w:t>
      </w:r>
      <w:r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>Putting You at Risk?</w:t>
      </w:r>
    </w:p>
    <w:p w14:paraId="0FF844DA" w14:textId="0853E2F5" w:rsidR="00EF1342" w:rsidRPr="00700F2A" w:rsidRDefault="00EF1342" w:rsidP="00AE7298">
      <w:p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5368C20" w14:textId="77777777" w:rsidR="009C281C" w:rsidRPr="00700F2A" w:rsidRDefault="009C281C" w:rsidP="00AE7298">
      <w:pPr>
        <w:spacing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3B4568" w14:textId="583F8A7E" w:rsidR="0063769C" w:rsidRPr="00700F2A" w:rsidRDefault="00A14671" w:rsidP="00AE7298">
      <w:pPr>
        <w:spacing w:line="240" w:lineRule="auto"/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</w:pP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Name two 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</w:rPr>
        <w:t>dominant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 xml:space="preserve"> influences on</w:t>
      </w:r>
      <w:r w:rsidR="00012ABB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>21</w:t>
      </w:r>
      <w:r w:rsidRPr="00700F2A">
        <w:rPr>
          <w:rFonts w:ascii="Arial" w:hAnsi="Arial" w:cs="Arial"/>
          <w:color w:val="000000" w:themeColor="text1"/>
          <w:sz w:val="20"/>
          <w:szCs w:val="20"/>
          <w:vertAlign w:val="superscript"/>
        </w:rPr>
        <w:t>st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century healthcare and it’s a safe bet that </w:t>
      </w:r>
      <w:r w:rsidR="00414135" w:rsidRPr="00700F2A">
        <w:rPr>
          <w:rFonts w:ascii="Arial" w:hAnsi="Arial" w:cs="Arial"/>
          <w:color w:val="000000" w:themeColor="text1"/>
          <w:sz w:val="20"/>
          <w:szCs w:val="20"/>
        </w:rPr>
        <w:t xml:space="preserve">telemedicine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414135" w:rsidRPr="00700F2A">
        <w:rPr>
          <w:rFonts w:ascii="Arial" w:hAnsi="Arial" w:cs="Arial"/>
          <w:color w:val="000000" w:themeColor="text1"/>
          <w:sz w:val="20"/>
          <w:szCs w:val="20"/>
        </w:rPr>
        <w:t>cybersecurity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</w:rPr>
        <w:t xml:space="preserve"> would make the list</w:t>
      </w:r>
      <w:r w:rsidR="00414135" w:rsidRPr="00700F2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>In the last 20 years, t</w:t>
      </w:r>
      <w:r w:rsidR="008365C3" w:rsidRPr="00700F2A">
        <w:rPr>
          <w:rFonts w:ascii="Arial" w:hAnsi="Arial" w:cs="Arial"/>
          <w:color w:val="000000" w:themeColor="text1"/>
          <w:sz w:val="20"/>
          <w:szCs w:val="20"/>
        </w:rPr>
        <w:t>elemedicine has</w:t>
      </w:r>
      <w:r w:rsidR="0063769C" w:rsidRPr="00700F2A">
        <w:rPr>
          <w:rFonts w:ascii="Arial" w:hAnsi="Arial" w:cs="Arial"/>
          <w:color w:val="000000" w:themeColor="text1"/>
          <w:sz w:val="20"/>
          <w:szCs w:val="20"/>
        </w:rPr>
        <w:t xml:space="preserve"> radically cut healthcare costs and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5" w:history="1">
        <w:r w:rsidR="008365C3" w:rsidRPr="00700F2A">
          <w:rPr>
            <w:rStyle w:val="Hyperlink"/>
            <w:rFonts w:ascii="Arial" w:hAnsi="Arial" w:cs="Arial"/>
            <w:sz w:val="20"/>
            <w:szCs w:val="20"/>
          </w:rPr>
          <w:t>br</w:t>
        </w:r>
        <w:r w:rsidR="0063769C" w:rsidRPr="00700F2A">
          <w:rPr>
            <w:rStyle w:val="Hyperlink"/>
            <w:rFonts w:ascii="Arial" w:hAnsi="Arial" w:cs="Arial"/>
            <w:sz w:val="20"/>
            <w:szCs w:val="20"/>
          </w:rPr>
          <w:t>ought</w:t>
        </w:r>
        <w:r w:rsidR="008365C3" w:rsidRPr="00700F2A">
          <w:rPr>
            <w:rStyle w:val="Hyperlink"/>
            <w:rFonts w:ascii="Arial" w:hAnsi="Arial" w:cs="Arial"/>
            <w:sz w:val="20"/>
            <w:szCs w:val="20"/>
          </w:rPr>
          <w:t xml:space="preserve"> li</w:t>
        </w:r>
        <w:r w:rsidRPr="00700F2A">
          <w:rPr>
            <w:rStyle w:val="Hyperlink"/>
            <w:rFonts w:ascii="Arial" w:hAnsi="Arial" w:cs="Arial"/>
            <w:sz w:val="20"/>
            <w:szCs w:val="20"/>
          </w:rPr>
          <w:t>fe-saving care into rural and underserved areas</w:t>
        </w:r>
      </w:hyperlink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>; during the same period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>cybercrime has boomed</w:t>
      </w:r>
      <w:r w:rsidR="009E1E14" w:rsidRPr="00700F2A">
        <w:rPr>
          <w:rFonts w:ascii="Arial" w:hAnsi="Arial" w:cs="Arial"/>
          <w:color w:val="000000" w:themeColor="text1"/>
          <w:sz w:val="20"/>
          <w:szCs w:val="20"/>
        </w:rPr>
        <w:t>,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 xml:space="preserve">with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attackers 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 xml:space="preserve">repeatedly </w:t>
      </w:r>
      <w:r w:rsidR="00CB222C" w:rsidRPr="00700F2A">
        <w:rPr>
          <w:rFonts w:ascii="Arial" w:hAnsi="Arial" w:cs="Arial"/>
          <w:color w:val="000000" w:themeColor="text1"/>
          <w:sz w:val="20"/>
          <w:szCs w:val="20"/>
        </w:rPr>
        <w:t>target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>ing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C37D1" w:rsidRPr="00700F2A">
        <w:rPr>
          <w:rFonts w:ascii="Arial" w:hAnsi="Arial" w:cs="Arial"/>
          <w:color w:val="000000" w:themeColor="text1"/>
          <w:sz w:val="20"/>
          <w:szCs w:val="20"/>
        </w:rPr>
        <w:t xml:space="preserve">healthcare organizations’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rich </w:t>
      </w:r>
      <w:r w:rsidR="00BC37D1" w:rsidRPr="00700F2A">
        <w:rPr>
          <w:rFonts w:ascii="Arial" w:hAnsi="Arial" w:cs="Arial"/>
          <w:color w:val="000000" w:themeColor="text1"/>
          <w:sz w:val="20"/>
          <w:szCs w:val="20"/>
        </w:rPr>
        <w:t>stores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>of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B222C" w:rsidRPr="00700F2A">
        <w:rPr>
          <w:rFonts w:ascii="Arial" w:hAnsi="Arial" w:cs="Arial"/>
          <w:color w:val="000000" w:themeColor="text1"/>
          <w:sz w:val="20"/>
          <w:szCs w:val="20"/>
        </w:rPr>
        <w:t>valuable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data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>.</w:t>
      </w:r>
      <w:r w:rsidR="0063769C" w:rsidRPr="00700F2A">
        <w:rPr>
          <w:rFonts w:ascii="Arial" w:hAnsi="Arial" w:cs="Arial"/>
          <w:color w:val="000000" w:themeColor="text1"/>
          <w:sz w:val="20"/>
          <w:szCs w:val="20"/>
        </w:rPr>
        <w:t xml:space="preserve"> The </w:t>
      </w:r>
      <w:hyperlink r:id="rId6" w:history="1">
        <w:r w:rsidR="0063769C" w:rsidRPr="00700F2A">
          <w:rPr>
            <w:rStyle w:val="Hyperlink"/>
            <w:rFonts w:ascii="Arial" w:hAnsi="Arial" w:cs="Arial"/>
            <w:sz w:val="20"/>
            <w:szCs w:val="20"/>
          </w:rPr>
          <w:t>black market price tag of s</w:t>
        </w:r>
        <w:r w:rsidR="0063769C" w:rsidRPr="00700F2A">
          <w:rPr>
            <w:rStyle w:val="Hyperlink"/>
            <w:rFonts w:ascii="Arial" w:hAnsi="Arial" w:cs="Arial"/>
            <w:spacing w:val="4"/>
            <w:sz w:val="20"/>
            <w:szCs w:val="20"/>
            <w:shd w:val="clear" w:color="auto" w:fill="FFFFFF"/>
          </w:rPr>
          <w:t>tolen protected health information (PHI)</w:t>
        </w:r>
      </w:hyperlink>
      <w:r w:rsidR="0063769C" w:rsidRPr="00700F2A">
        <w:rPr>
          <w:rFonts w:ascii="Arial" w:hAnsi="Arial" w:cs="Arial"/>
          <w:color w:val="000000"/>
          <w:spacing w:val="4"/>
          <w:sz w:val="20"/>
          <w:szCs w:val="20"/>
          <w:shd w:val="clear" w:color="auto" w:fill="FFFFFF"/>
        </w:rPr>
        <w:t xml:space="preserve"> can go for $60 a record, compared to roughly $1 for a credit card or social security number. </w:t>
      </w:r>
    </w:p>
    <w:p w14:paraId="33ACDFEE" w14:textId="70FEBED5" w:rsidR="00414135" w:rsidRPr="00700F2A" w:rsidRDefault="00A14671" w:rsidP="00AE7298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700F2A">
        <w:rPr>
          <w:rFonts w:ascii="Arial" w:hAnsi="Arial" w:cs="Arial"/>
          <w:color w:val="000000" w:themeColor="text1"/>
          <w:sz w:val="20"/>
          <w:szCs w:val="20"/>
        </w:rPr>
        <w:t>Some providers have ignored both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 xml:space="preserve"> trends,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dismissing the benefits of telemedicine while underestimating </w:t>
      </w:r>
      <w:hyperlink r:id="rId7" w:history="1">
        <w:r w:rsidRPr="00700F2A">
          <w:rPr>
            <w:rStyle w:val="Hyperlink"/>
            <w:rFonts w:ascii="Arial" w:hAnsi="Arial" w:cs="Arial"/>
            <w:sz w:val="20"/>
            <w:szCs w:val="20"/>
          </w:rPr>
          <w:t xml:space="preserve">the need for </w:t>
        </w:r>
        <w:r w:rsidR="00FE6CE1" w:rsidRPr="00700F2A">
          <w:rPr>
            <w:rStyle w:val="Hyperlink"/>
            <w:rFonts w:ascii="Arial" w:hAnsi="Arial" w:cs="Arial"/>
            <w:sz w:val="20"/>
            <w:szCs w:val="20"/>
          </w:rPr>
          <w:t xml:space="preserve">a strong </w:t>
        </w:r>
        <w:r w:rsidRPr="00700F2A">
          <w:rPr>
            <w:rStyle w:val="Hyperlink"/>
            <w:rFonts w:ascii="Arial" w:hAnsi="Arial" w:cs="Arial"/>
            <w:sz w:val="20"/>
            <w:szCs w:val="20"/>
          </w:rPr>
          <w:t>cybersecurity</w:t>
        </w:r>
      </w:hyperlink>
      <w:r w:rsidR="00FE6CE1" w:rsidRPr="00700F2A">
        <w:rPr>
          <w:rStyle w:val="Hyperlink"/>
          <w:rFonts w:ascii="Arial" w:hAnsi="Arial" w:cs="Arial"/>
          <w:sz w:val="20"/>
          <w:szCs w:val="20"/>
        </w:rPr>
        <w:t xml:space="preserve"> program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. But 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>the Covid-19 pandemic has forced nearly everyone in healthcare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to reckon with both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</w:rPr>
        <w:t>,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4812" w:rsidRPr="00700F2A">
        <w:rPr>
          <w:rFonts w:ascii="Arial" w:hAnsi="Arial" w:cs="Arial"/>
          <w:color w:val="000000" w:themeColor="text1"/>
          <w:sz w:val="20"/>
          <w:szCs w:val="20"/>
        </w:rPr>
        <w:t>thanks to two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dynamics</w:t>
      </w:r>
      <w:r w:rsidR="00414135" w:rsidRPr="00700F2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4837EAB5" w14:textId="4E80D6A9" w:rsidR="00A23224" w:rsidRPr="00700F2A" w:rsidRDefault="00BC37D1" w:rsidP="00A23224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b/>
          <w:bCs/>
          <w:sz w:val="20"/>
          <w:szCs w:val="20"/>
        </w:rPr>
        <w:t>The r</w:t>
      </w:r>
      <w:r w:rsidR="00A14671" w:rsidRPr="00700F2A">
        <w:rPr>
          <w:rFonts w:ascii="Arial" w:hAnsi="Arial" w:cs="Arial"/>
          <w:b/>
          <w:bCs/>
          <w:sz w:val="20"/>
          <w:szCs w:val="20"/>
        </w:rPr>
        <w:t>apid adoption of telehealth solution</w:t>
      </w:r>
      <w:r w:rsidR="00624812" w:rsidRPr="00700F2A">
        <w:rPr>
          <w:rFonts w:ascii="Arial" w:hAnsi="Arial" w:cs="Arial"/>
          <w:b/>
          <w:bCs/>
          <w:sz w:val="20"/>
          <w:szCs w:val="20"/>
        </w:rPr>
        <w:t>s.</w:t>
      </w:r>
      <w:r w:rsidR="00414135" w:rsidRPr="00700F2A">
        <w:rPr>
          <w:rFonts w:ascii="Arial" w:hAnsi="Arial" w:cs="Arial"/>
          <w:sz w:val="20"/>
          <w:szCs w:val="20"/>
        </w:rPr>
        <w:t xml:space="preserve"> </w:t>
      </w:r>
      <w:r w:rsidR="00A14671" w:rsidRPr="00700F2A">
        <w:rPr>
          <w:rFonts w:ascii="Arial" w:hAnsi="Arial" w:cs="Arial"/>
          <w:sz w:val="20"/>
          <w:szCs w:val="20"/>
        </w:rPr>
        <w:t xml:space="preserve">In the face of a highly infectious virus, telemedicine has </w:t>
      </w:r>
      <w:hyperlink r:id="rId8" w:history="1">
        <w:r w:rsidR="00624812" w:rsidRPr="00700F2A">
          <w:rPr>
            <w:rStyle w:val="Hyperlink"/>
            <w:rFonts w:ascii="Arial" w:hAnsi="Arial" w:cs="Arial"/>
            <w:sz w:val="20"/>
            <w:szCs w:val="20"/>
          </w:rPr>
          <w:t>s</w:t>
        </w:r>
        <w:r w:rsidR="00A14671" w:rsidRPr="00700F2A">
          <w:rPr>
            <w:rStyle w:val="Hyperlink"/>
            <w:rFonts w:ascii="Arial" w:hAnsi="Arial" w:cs="Arial"/>
            <w:sz w:val="20"/>
            <w:szCs w:val="20"/>
          </w:rPr>
          <w:t>tepped in like a hero</w:t>
        </w:r>
      </w:hyperlink>
      <w:r w:rsidR="00A14671" w:rsidRPr="00700F2A">
        <w:rPr>
          <w:rFonts w:ascii="Arial" w:hAnsi="Arial" w:cs="Arial"/>
          <w:sz w:val="20"/>
          <w:szCs w:val="20"/>
        </w:rPr>
        <w:t xml:space="preserve">, enabling remote connections </w:t>
      </w:r>
      <w:r w:rsidR="00624812" w:rsidRPr="00700F2A">
        <w:rPr>
          <w:rFonts w:ascii="Arial" w:hAnsi="Arial" w:cs="Arial"/>
          <w:sz w:val="20"/>
          <w:szCs w:val="20"/>
        </w:rPr>
        <w:t>to</w:t>
      </w:r>
      <w:r w:rsidR="00FE6CE1" w:rsidRPr="00700F2A">
        <w:rPr>
          <w:rFonts w:ascii="Arial" w:hAnsi="Arial" w:cs="Arial"/>
          <w:sz w:val="20"/>
          <w:szCs w:val="20"/>
        </w:rPr>
        <w:t xml:space="preserve"> </w:t>
      </w:r>
      <w:r w:rsidR="00A14671" w:rsidRPr="00700F2A">
        <w:rPr>
          <w:rFonts w:ascii="Arial" w:hAnsi="Arial" w:cs="Arial"/>
          <w:sz w:val="20"/>
          <w:szCs w:val="20"/>
        </w:rPr>
        <w:t xml:space="preserve">help limit </w:t>
      </w:r>
      <w:r w:rsidR="00624812" w:rsidRPr="00700F2A">
        <w:rPr>
          <w:rFonts w:ascii="Arial" w:hAnsi="Arial" w:cs="Arial"/>
          <w:sz w:val="20"/>
          <w:szCs w:val="20"/>
        </w:rPr>
        <w:t xml:space="preserve">contamination. </w:t>
      </w:r>
      <w:r w:rsidR="00A23224" w:rsidRPr="00700F2A">
        <w:rPr>
          <w:rFonts w:ascii="Arial" w:hAnsi="Arial" w:cs="Arial"/>
          <w:sz w:val="20"/>
          <w:szCs w:val="20"/>
          <w:shd w:val="clear" w:color="auto" w:fill="FFFFFF"/>
        </w:rPr>
        <w:t xml:space="preserve">More than </w:t>
      </w:r>
      <w:hyperlink r:id="rId9" w:history="1">
        <w:r w:rsidR="00A23224" w:rsidRPr="00700F2A">
          <w:rPr>
            <w:rStyle w:val="Strong"/>
            <w:rFonts w:ascii="Arial" w:hAnsi="Arial" w:cs="Arial"/>
            <w:b w:val="0"/>
            <w:bCs w:val="0"/>
            <w:color w:val="404897"/>
            <w:sz w:val="20"/>
            <w:szCs w:val="20"/>
            <w:u w:val="single"/>
            <w:shd w:val="clear" w:color="auto" w:fill="FFFFFF"/>
          </w:rPr>
          <w:t>41 million telehealth claims</w:t>
        </w:r>
      </w:hyperlink>
      <w:r w:rsidR="00A23224" w:rsidRPr="00700F2A">
        <w:rPr>
          <w:rFonts w:ascii="Arial" w:hAnsi="Arial" w:cs="Arial"/>
          <w:color w:val="555555"/>
          <w:sz w:val="20"/>
          <w:szCs w:val="20"/>
          <w:shd w:val="clear" w:color="auto" w:fill="FFFFFF"/>
        </w:rPr>
        <w:t> </w:t>
      </w:r>
      <w:r w:rsidR="00A23224" w:rsidRPr="00700F2A">
        <w:rPr>
          <w:rFonts w:ascii="Arial" w:hAnsi="Arial" w:cs="Arial"/>
          <w:sz w:val="20"/>
          <w:szCs w:val="20"/>
          <w:shd w:val="clear" w:color="auto" w:fill="FFFFFF"/>
        </w:rPr>
        <w:t>were filed between April and July 2020, a 4,000% year-over-year increase over the same time period in 2019.</w:t>
      </w:r>
    </w:p>
    <w:p w14:paraId="0576A1D6" w14:textId="172D3EC3" w:rsidR="000B3B13" w:rsidRPr="00700F2A" w:rsidRDefault="00624812" w:rsidP="009A1739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00F2A">
        <w:rPr>
          <w:rFonts w:ascii="Arial" w:hAnsi="Arial" w:cs="Arial"/>
          <w:b/>
          <w:bCs/>
          <w:color w:val="000000" w:themeColor="text1"/>
          <w:sz w:val="20"/>
          <w:szCs w:val="20"/>
        </w:rPr>
        <w:t>A sharp increase in c</w:t>
      </w:r>
      <w:r w:rsidR="00A14671" w:rsidRPr="00700F2A">
        <w:rPr>
          <w:rFonts w:ascii="Arial" w:hAnsi="Arial" w:cs="Arial"/>
          <w:b/>
          <w:bCs/>
          <w:color w:val="000000" w:themeColor="text1"/>
          <w:sz w:val="20"/>
          <w:szCs w:val="20"/>
        </w:rPr>
        <w:t>yberc</w:t>
      </w:r>
      <w:r w:rsidR="000B3B13" w:rsidRPr="00700F2A">
        <w:rPr>
          <w:rFonts w:ascii="Arial" w:hAnsi="Arial" w:cs="Arial"/>
          <w:b/>
          <w:bCs/>
          <w:color w:val="000000" w:themeColor="text1"/>
          <w:sz w:val="20"/>
          <w:szCs w:val="20"/>
        </w:rPr>
        <w:t>rime</w:t>
      </w:r>
      <w:r w:rsidRPr="00700F2A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>Attackers moved fast to exploit the chaos and confusion of th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</w:rPr>
        <w:t>e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 xml:space="preserve"> pandemic. </w:t>
      </w:r>
      <w:hyperlink r:id="rId10" w:history="1">
        <w:r w:rsidR="000B3B13" w:rsidRPr="00700F2A">
          <w:rPr>
            <w:rStyle w:val="Hyperlink"/>
            <w:rFonts w:ascii="Arial" w:hAnsi="Arial" w:cs="Arial"/>
            <w:sz w:val="20"/>
            <w:szCs w:val="20"/>
          </w:rPr>
          <w:t>COVID-19 email scams skyrocketed 667%</w:t>
        </w:r>
      </w:hyperlink>
      <w:r w:rsidR="000B3B13" w:rsidRPr="00700F2A">
        <w:rPr>
          <w:rFonts w:ascii="Arial" w:hAnsi="Arial" w:cs="Arial"/>
          <w:sz w:val="20"/>
          <w:szCs w:val="20"/>
        </w:rPr>
        <w:t xml:space="preserve"> just in March; more than </w:t>
      </w:r>
      <w:hyperlink r:id="rId11" w:history="1">
        <w:r w:rsidR="000B3B13" w:rsidRPr="00700F2A">
          <w:rPr>
            <w:rStyle w:val="Hyperlink"/>
            <w:rFonts w:ascii="Arial" w:hAnsi="Arial" w:cs="Arial"/>
            <w:sz w:val="20"/>
            <w:szCs w:val="20"/>
          </w:rPr>
          <w:t>half a million Zoom accounts have been sold on the Dark Web</w:t>
        </w:r>
      </w:hyperlink>
      <w:r w:rsidR="000B3B13" w:rsidRPr="00700F2A">
        <w:rPr>
          <w:rFonts w:ascii="Arial" w:hAnsi="Arial" w:cs="Arial"/>
          <w:sz w:val="20"/>
          <w:szCs w:val="20"/>
        </w:rPr>
        <w:t xml:space="preserve">. </w:t>
      </w:r>
      <w:r w:rsidR="00FE6CE1" w:rsidRPr="00700F2A">
        <w:rPr>
          <w:rFonts w:ascii="Arial" w:hAnsi="Arial" w:cs="Arial"/>
          <w:sz w:val="20"/>
          <w:szCs w:val="20"/>
        </w:rPr>
        <w:t>T</w:t>
      </w:r>
      <w:r w:rsidR="000B3B13" w:rsidRPr="00700F2A">
        <w:rPr>
          <w:rFonts w:ascii="Arial" w:hAnsi="Arial" w:cs="Arial"/>
          <w:sz w:val="20"/>
          <w:szCs w:val="20"/>
        </w:rPr>
        <w:t xml:space="preserve">hese </w:t>
      </w:r>
      <w:r w:rsidR="009E1E14" w:rsidRPr="00700F2A">
        <w:rPr>
          <w:rFonts w:ascii="Arial" w:hAnsi="Arial" w:cs="Arial"/>
          <w:sz w:val="20"/>
          <w:szCs w:val="20"/>
        </w:rPr>
        <w:t>criminals</w:t>
      </w:r>
      <w:r w:rsidR="000B3B13" w:rsidRPr="00700F2A">
        <w:rPr>
          <w:rFonts w:ascii="Arial" w:hAnsi="Arial" w:cs="Arial"/>
          <w:sz w:val="20"/>
          <w:szCs w:val="20"/>
        </w:rPr>
        <w:t xml:space="preserve"> </w:t>
      </w:r>
      <w:r w:rsidR="009E1E14" w:rsidRPr="00700F2A">
        <w:rPr>
          <w:rFonts w:ascii="Arial" w:hAnsi="Arial" w:cs="Arial"/>
          <w:sz w:val="20"/>
          <w:szCs w:val="20"/>
        </w:rPr>
        <w:t>know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 xml:space="preserve"> that</w:t>
      </w:r>
      <w:r w:rsidR="00884520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in the </w:t>
      </w:r>
      <w:r w:rsidR="00F60928" w:rsidRPr="00700F2A">
        <w:rPr>
          <w:rFonts w:ascii="Arial" w:hAnsi="Arial" w:cs="Arial"/>
          <w:color w:val="000000" w:themeColor="text1"/>
          <w:sz w:val="20"/>
          <w:szCs w:val="20"/>
        </w:rPr>
        <w:t xml:space="preserve">panic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and fever of </w:t>
      </w:r>
      <w:r w:rsidR="003A382C" w:rsidRPr="00700F2A">
        <w:rPr>
          <w:rFonts w:ascii="Arial" w:hAnsi="Arial" w:cs="Arial"/>
          <w:color w:val="000000" w:themeColor="text1"/>
          <w:sz w:val="20"/>
          <w:szCs w:val="20"/>
        </w:rPr>
        <w:t xml:space="preserve">last spring, </w:t>
      </w:r>
      <w:r w:rsidRPr="00700F2A">
        <w:rPr>
          <w:rFonts w:ascii="Arial" w:hAnsi="Arial" w:cs="Arial"/>
          <w:color w:val="333333"/>
          <w:sz w:val="20"/>
          <w:szCs w:val="20"/>
        </w:rPr>
        <w:t>m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any providers </w:t>
      </w:r>
      <w:r w:rsidR="003A382C" w:rsidRPr="00700F2A">
        <w:rPr>
          <w:rFonts w:ascii="Arial" w:hAnsi="Arial" w:cs="Arial"/>
          <w:color w:val="000000" w:themeColor="text1"/>
          <w:sz w:val="20"/>
          <w:szCs w:val="20"/>
        </w:rPr>
        <w:t>jumped on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video-only solutions such as Zoom, </w:t>
      </w:r>
      <w:r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Mend, Doxy.me, eVisit, Teams and Skype – 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skipped a thorough risk assessment, thanks to</w:t>
      </w:r>
      <w:r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B222C" w:rsidRPr="00700F2A">
        <w:rPr>
          <w:rFonts w:ascii="Arial" w:hAnsi="Arial" w:cs="Arial"/>
          <w:color w:val="000000" w:themeColor="text1"/>
          <w:sz w:val="20"/>
          <w:szCs w:val="20"/>
        </w:rPr>
        <w:t>relaxed</w:t>
      </w: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 security and reimbursement landscape.</w:t>
      </w:r>
      <w:r w:rsidR="003A382C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</w:rPr>
        <w:t>Now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 xml:space="preserve"> nervous s</w:t>
      </w:r>
      <w:r w:rsidR="003A382C" w:rsidRPr="00700F2A">
        <w:rPr>
          <w:rFonts w:ascii="Arial" w:hAnsi="Arial" w:cs="Arial"/>
          <w:color w:val="000000" w:themeColor="text1"/>
          <w:sz w:val="20"/>
          <w:szCs w:val="20"/>
        </w:rPr>
        <w:t>ecurity experts</w:t>
      </w:r>
      <w:r w:rsidR="00BC37D1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B3B13" w:rsidRPr="00700F2A">
        <w:rPr>
          <w:rFonts w:ascii="Arial" w:hAnsi="Arial" w:cs="Arial"/>
          <w:color w:val="000000" w:themeColor="text1"/>
          <w:sz w:val="20"/>
          <w:szCs w:val="20"/>
        </w:rPr>
        <w:t>are calling these vulnerable new environments</w:t>
      </w:r>
      <w:r w:rsidR="00BC37D1" w:rsidRPr="00700F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02EB3" w:rsidRPr="00700F2A">
        <w:rPr>
          <w:rFonts w:ascii="Arial" w:hAnsi="Arial" w:cs="Arial"/>
          <w:color w:val="333333"/>
          <w:sz w:val="20"/>
          <w:szCs w:val="20"/>
        </w:rPr>
        <w:t>"</w:t>
      </w:r>
      <w:hyperlink r:id="rId12" w:tgtFrame="_blank" w:history="1">
        <w:r w:rsidR="00E02EB3" w:rsidRPr="00700F2A">
          <w:rPr>
            <w:rStyle w:val="Hyperlink"/>
            <w:rFonts w:ascii="Arial" w:hAnsi="Arial" w:cs="Arial"/>
            <w:color w:val="3E88DF"/>
            <w:sz w:val="20"/>
            <w:szCs w:val="20"/>
          </w:rPr>
          <w:t>blood in the water</w:t>
        </w:r>
      </w:hyperlink>
      <w:r w:rsidR="00E02EB3" w:rsidRPr="00700F2A">
        <w:rPr>
          <w:rFonts w:ascii="Arial" w:hAnsi="Arial" w:cs="Arial"/>
          <w:color w:val="333333"/>
          <w:sz w:val="20"/>
          <w:szCs w:val="20"/>
        </w:rPr>
        <w:t xml:space="preserve">" </w:t>
      </w:r>
      <w:r w:rsidR="003A382C" w:rsidRPr="00700F2A">
        <w:rPr>
          <w:rFonts w:ascii="Arial" w:hAnsi="Arial" w:cs="Arial"/>
          <w:color w:val="333333"/>
          <w:sz w:val="20"/>
          <w:szCs w:val="20"/>
        </w:rPr>
        <w:t xml:space="preserve">to </w:t>
      </w:r>
      <w:r w:rsidR="00E02EB3" w:rsidRPr="00700F2A">
        <w:rPr>
          <w:rFonts w:ascii="Arial" w:hAnsi="Arial" w:cs="Arial"/>
          <w:sz w:val="20"/>
          <w:szCs w:val="20"/>
        </w:rPr>
        <w:t>cybercriminals</w:t>
      </w:r>
      <w:r w:rsidR="00A14671" w:rsidRPr="00700F2A">
        <w:rPr>
          <w:rFonts w:ascii="Arial" w:hAnsi="Arial" w:cs="Arial"/>
          <w:sz w:val="20"/>
          <w:szCs w:val="20"/>
        </w:rPr>
        <w:t xml:space="preserve">. </w:t>
      </w:r>
    </w:p>
    <w:p w14:paraId="5B0A3EA4" w14:textId="29633C69" w:rsidR="00367DDA" w:rsidRDefault="003A382C" w:rsidP="000B3B13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700F2A">
        <w:rPr>
          <w:rFonts w:ascii="Arial" w:hAnsi="Arial" w:cs="Arial"/>
          <w:color w:val="000000" w:themeColor="text1"/>
          <w:sz w:val="20"/>
          <w:szCs w:val="20"/>
        </w:rPr>
        <w:t xml:space="preserve">Right now, some of you may be thinking, “We’re safe; our video-only solution wasn’t </w:t>
      </w:r>
      <w:r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HIPAA compliant at first but it definitely is now.” And it’s true that some solutions, like Zoom, took that crucial step of meeting HIPAA requirements, which is great. </w:t>
      </w:r>
      <w:r w:rsidR="00367DDA"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But cybercrime sharks are still hunting in healthcare waters – and video-only platforms are unfortunately still ripe for attack</w:t>
      </w:r>
      <w:r w:rsidR="00F60928"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as a recent </w:t>
      </w:r>
      <w:r w:rsidR="00FE6CE1"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study</w:t>
      </w:r>
      <w:r w:rsidR="00F60928" w:rsidRPr="00700F2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shows.</w:t>
      </w:r>
    </w:p>
    <w:p w14:paraId="544250BD" w14:textId="77777777" w:rsidR="00700F2A" w:rsidRPr="00700F2A" w:rsidRDefault="00700F2A" w:rsidP="000B3B13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000CDB5C" w14:textId="77777777" w:rsidR="003012D1" w:rsidRPr="00700F2A" w:rsidRDefault="003012D1" w:rsidP="000B530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F79A16B" w14:textId="66164974" w:rsidR="009626A4" w:rsidRPr="00700F2A" w:rsidRDefault="000B3B13" w:rsidP="000B530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00F2A">
        <w:rPr>
          <w:rFonts w:ascii="Arial" w:hAnsi="Arial" w:cs="Arial"/>
          <w:b/>
          <w:bCs/>
          <w:color w:val="000000" w:themeColor="text1"/>
          <w:sz w:val="24"/>
          <w:szCs w:val="24"/>
        </w:rPr>
        <w:t>Healthcare’s Insecurity Complex</w:t>
      </w:r>
    </w:p>
    <w:p w14:paraId="569B7145" w14:textId="67F02E52" w:rsidR="00CB222C" w:rsidRPr="00700F2A" w:rsidRDefault="00E73390" w:rsidP="00367DDA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color w:val="212121"/>
          <w:sz w:val="20"/>
          <w:szCs w:val="20"/>
        </w:rPr>
        <w:t>A disturbing</w:t>
      </w:r>
      <w:r w:rsidR="00884520" w:rsidRPr="00700F2A">
        <w:rPr>
          <w:rFonts w:ascii="Arial" w:hAnsi="Arial" w:cs="Arial"/>
          <w:color w:val="212121"/>
          <w:sz w:val="20"/>
          <w:szCs w:val="20"/>
        </w:rPr>
        <w:t xml:space="preserve"> </w:t>
      </w:r>
      <w:hyperlink r:id="rId13" w:history="1">
        <w:r w:rsidR="00884520" w:rsidRPr="00700F2A">
          <w:rPr>
            <w:rStyle w:val="Hyperlink"/>
            <w:rFonts w:ascii="Arial" w:hAnsi="Arial" w:cs="Arial"/>
            <w:sz w:val="20"/>
            <w:szCs w:val="20"/>
          </w:rPr>
          <w:t>report from SecurityScorecard and DarkOwl</w:t>
        </w:r>
      </w:hyperlink>
      <w:r w:rsidR="00884520" w:rsidRPr="00700F2A">
        <w:rPr>
          <w:rFonts w:ascii="Arial" w:hAnsi="Arial" w:cs="Arial"/>
          <w:color w:val="212121"/>
          <w:sz w:val="20"/>
          <w:szCs w:val="20"/>
        </w:rPr>
        <w:t xml:space="preserve"> </w:t>
      </w:r>
      <w:r w:rsidR="00367DDA" w:rsidRPr="00700F2A">
        <w:rPr>
          <w:rFonts w:ascii="Arial" w:hAnsi="Arial" w:cs="Arial"/>
          <w:color w:val="212121"/>
          <w:sz w:val="20"/>
          <w:szCs w:val="20"/>
        </w:rPr>
        <w:t>names</w:t>
      </w:r>
      <w:r w:rsidR="00884520" w:rsidRPr="00700F2A">
        <w:rPr>
          <w:rFonts w:ascii="Arial" w:hAnsi="Arial" w:cs="Arial"/>
          <w:sz w:val="20"/>
          <w:szCs w:val="20"/>
        </w:rPr>
        <w:t xml:space="preserve"> </w:t>
      </w:r>
      <w:r w:rsidR="00367DDA" w:rsidRPr="00700F2A">
        <w:rPr>
          <w:rFonts w:ascii="Arial" w:hAnsi="Arial" w:cs="Arial"/>
          <w:sz w:val="20"/>
          <w:szCs w:val="20"/>
        </w:rPr>
        <w:t>t</w:t>
      </w:r>
      <w:r w:rsidR="00884520" w:rsidRPr="00700F2A">
        <w:rPr>
          <w:rFonts w:ascii="Arial" w:hAnsi="Arial" w:cs="Arial"/>
          <w:sz w:val="20"/>
          <w:szCs w:val="20"/>
        </w:rPr>
        <w:t xml:space="preserve">elehealth </w:t>
      </w:r>
      <w:r w:rsidR="00367DDA" w:rsidRPr="00700F2A">
        <w:rPr>
          <w:rFonts w:ascii="Arial" w:hAnsi="Arial" w:cs="Arial"/>
          <w:sz w:val="20"/>
          <w:szCs w:val="20"/>
        </w:rPr>
        <w:t>as</w:t>
      </w:r>
      <w:r w:rsidR="00884520" w:rsidRPr="00700F2A">
        <w:rPr>
          <w:rFonts w:ascii="Arial" w:hAnsi="Arial" w:cs="Arial"/>
          <w:sz w:val="20"/>
          <w:szCs w:val="20"/>
        </w:rPr>
        <w:t xml:space="preserve"> </w:t>
      </w:r>
      <w:r w:rsidR="00BC37D1" w:rsidRPr="00700F2A">
        <w:rPr>
          <w:rFonts w:ascii="Arial" w:hAnsi="Arial" w:cs="Arial"/>
          <w:sz w:val="20"/>
          <w:szCs w:val="20"/>
        </w:rPr>
        <w:t xml:space="preserve">the current </w:t>
      </w:r>
      <w:r w:rsidR="00884520" w:rsidRPr="00700F2A">
        <w:rPr>
          <w:rFonts w:ascii="Arial" w:hAnsi="Arial" w:cs="Arial"/>
          <w:sz w:val="20"/>
          <w:szCs w:val="20"/>
        </w:rPr>
        <w:t xml:space="preserve">biggest threat to healthcare cybersecurity. </w:t>
      </w:r>
      <w:proofErr w:type="gramStart"/>
      <w:r w:rsidR="00367DDA" w:rsidRPr="00700F2A">
        <w:rPr>
          <w:rFonts w:ascii="Arial" w:hAnsi="Arial" w:cs="Arial"/>
          <w:sz w:val="20"/>
          <w:szCs w:val="20"/>
        </w:rPr>
        <w:t>After</w:t>
      </w:r>
      <w:r w:rsidR="00E02EB3" w:rsidRPr="00700F2A">
        <w:rPr>
          <w:rFonts w:ascii="Arial" w:hAnsi="Arial" w:cs="Arial"/>
          <w:sz w:val="20"/>
          <w:szCs w:val="20"/>
        </w:rPr>
        <w:t xml:space="preserve"> reviewing </w:t>
      </w:r>
      <w:r w:rsidR="00CA152C" w:rsidRPr="00700F2A">
        <w:rPr>
          <w:rFonts w:ascii="Arial" w:hAnsi="Arial" w:cs="Arial"/>
          <w:sz w:val="20"/>
          <w:szCs w:val="20"/>
        </w:rPr>
        <w:t xml:space="preserve">30,000 health organizations and </w:t>
      </w:r>
      <w:r w:rsidR="00E02EB3" w:rsidRPr="00700F2A">
        <w:rPr>
          <w:rFonts w:ascii="Arial" w:hAnsi="Arial" w:cs="Arial"/>
          <w:sz w:val="20"/>
          <w:szCs w:val="20"/>
        </w:rPr>
        <w:t xml:space="preserve">the </w:t>
      </w:r>
      <w:r w:rsidR="00367DDA" w:rsidRPr="00700F2A">
        <w:rPr>
          <w:rFonts w:ascii="Arial" w:hAnsi="Arial" w:cs="Arial"/>
          <w:sz w:val="20"/>
          <w:szCs w:val="20"/>
        </w:rPr>
        <w:t xml:space="preserve">top </w:t>
      </w:r>
      <w:r w:rsidR="00E02EB3" w:rsidRPr="00700F2A">
        <w:rPr>
          <w:rFonts w:ascii="Arial" w:hAnsi="Arial" w:cs="Arial"/>
          <w:sz w:val="20"/>
          <w:szCs w:val="20"/>
        </w:rPr>
        <w:t>148 telehealth vendors</w:t>
      </w:r>
      <w:r w:rsidR="00367DDA" w:rsidRPr="00700F2A">
        <w:rPr>
          <w:rFonts w:ascii="Arial" w:hAnsi="Arial" w:cs="Arial"/>
          <w:sz w:val="20"/>
          <w:szCs w:val="20"/>
        </w:rPr>
        <w:t>, the study</w:t>
      </w:r>
      <w:proofErr w:type="gramEnd"/>
      <w:r w:rsidR="00367DDA" w:rsidRPr="00700F2A">
        <w:rPr>
          <w:rFonts w:ascii="Arial" w:hAnsi="Arial" w:cs="Arial"/>
          <w:sz w:val="20"/>
          <w:szCs w:val="20"/>
        </w:rPr>
        <w:t xml:space="preserve"> found</w:t>
      </w:r>
      <w:r w:rsidR="00884520" w:rsidRPr="00700F2A">
        <w:rPr>
          <w:rFonts w:ascii="Arial" w:hAnsi="Arial" w:cs="Arial"/>
          <w:sz w:val="20"/>
          <w:szCs w:val="20"/>
        </w:rPr>
        <w:t xml:space="preserve"> increased risk across application and endpoint security, IP reputation, patching cadence and network security. </w:t>
      </w:r>
    </w:p>
    <w:p w14:paraId="3BEB2F99" w14:textId="24553CEF" w:rsidR="00CA152C" w:rsidRPr="00700F2A" w:rsidRDefault="00E02EB3" w:rsidP="00CA152C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sz w:val="20"/>
          <w:szCs w:val="20"/>
        </w:rPr>
        <w:t>“The COVID-19 pandemic presented a multitude of juicy opportunities for bad actors,</w:t>
      </w:r>
      <w:r w:rsidR="00CB222C" w:rsidRPr="00700F2A">
        <w:rPr>
          <w:rFonts w:ascii="Arial" w:hAnsi="Arial" w:cs="Arial"/>
          <w:sz w:val="20"/>
          <w:szCs w:val="20"/>
        </w:rPr>
        <w:t>” the report noted,</w:t>
      </w:r>
      <w:r w:rsidRPr="00700F2A">
        <w:rPr>
          <w:rFonts w:ascii="Arial" w:hAnsi="Arial" w:cs="Arial"/>
          <w:sz w:val="20"/>
          <w:szCs w:val="20"/>
        </w:rPr>
        <w:t xml:space="preserve"> </w:t>
      </w:r>
      <w:r w:rsidR="00CB222C" w:rsidRPr="00700F2A">
        <w:rPr>
          <w:rFonts w:ascii="Arial" w:hAnsi="Arial" w:cs="Arial"/>
          <w:sz w:val="20"/>
          <w:szCs w:val="20"/>
        </w:rPr>
        <w:t>“</w:t>
      </w:r>
      <w:r w:rsidRPr="00700F2A">
        <w:rPr>
          <w:rFonts w:ascii="Arial" w:hAnsi="Arial" w:cs="Arial"/>
          <w:sz w:val="20"/>
          <w:szCs w:val="20"/>
        </w:rPr>
        <w:t xml:space="preserve">ranging </w:t>
      </w:r>
      <w:r w:rsidRPr="00700F2A">
        <w:rPr>
          <w:rFonts w:ascii="Arial" w:hAnsi="Arial" w:cs="Arial"/>
          <w:color w:val="333333"/>
          <w:sz w:val="20"/>
          <w:szCs w:val="20"/>
        </w:rPr>
        <w:t>from </w:t>
      </w:r>
      <w:r w:rsidRPr="00700F2A">
        <w:rPr>
          <w:rFonts w:ascii="Arial" w:hAnsi="Arial" w:cs="Arial"/>
          <w:sz w:val="20"/>
          <w:szCs w:val="20"/>
        </w:rPr>
        <w:t>phishing attempts</w:t>
      </w:r>
      <w:r w:rsidRPr="00700F2A">
        <w:rPr>
          <w:rFonts w:ascii="Arial" w:hAnsi="Arial" w:cs="Arial"/>
          <w:color w:val="333333"/>
          <w:sz w:val="20"/>
          <w:szCs w:val="20"/>
        </w:rPr>
        <w:t> </w:t>
      </w:r>
      <w:r w:rsidRPr="00700F2A">
        <w:rPr>
          <w:rFonts w:ascii="Arial" w:hAnsi="Arial" w:cs="Arial"/>
          <w:sz w:val="20"/>
          <w:szCs w:val="20"/>
        </w:rPr>
        <w:t xml:space="preserve">fueled by fear of the crisis to patchy work-from-home security practices.” </w:t>
      </w:r>
      <w:r w:rsidR="00367DDA" w:rsidRPr="00700F2A">
        <w:rPr>
          <w:rFonts w:ascii="Arial" w:hAnsi="Arial" w:cs="Arial"/>
          <w:sz w:val="20"/>
          <w:szCs w:val="20"/>
        </w:rPr>
        <w:t xml:space="preserve">These opportunities </w:t>
      </w:r>
      <w:r w:rsidR="00CA152C" w:rsidRPr="00700F2A">
        <w:rPr>
          <w:rFonts w:ascii="Arial" w:hAnsi="Arial" w:cs="Arial"/>
          <w:sz w:val="20"/>
          <w:szCs w:val="20"/>
        </w:rPr>
        <w:t xml:space="preserve">led to “an </w:t>
      </w:r>
      <w:hyperlink r:id="rId14" w:history="1">
        <w:r w:rsidR="00CA152C" w:rsidRPr="00700F2A">
          <w:rPr>
            <w:rStyle w:val="Hyperlink"/>
            <w:rFonts w:ascii="Arial" w:hAnsi="Arial" w:cs="Arial"/>
            <w:sz w:val="20"/>
            <w:szCs w:val="20"/>
          </w:rPr>
          <w:t>enormous increase in targeted attacks</w:t>
        </w:r>
      </w:hyperlink>
      <w:r w:rsidR="00CA152C" w:rsidRPr="00700F2A">
        <w:rPr>
          <w:rFonts w:ascii="Arial" w:hAnsi="Arial" w:cs="Arial"/>
          <w:sz w:val="20"/>
          <w:szCs w:val="20"/>
        </w:rPr>
        <w:t xml:space="preserve">,” in part because of the speedy </w:t>
      </w:r>
      <w:r w:rsidR="00CB222C" w:rsidRPr="00700F2A">
        <w:rPr>
          <w:rFonts w:ascii="Arial" w:hAnsi="Arial" w:cs="Arial"/>
          <w:sz w:val="20"/>
          <w:szCs w:val="20"/>
        </w:rPr>
        <w:t xml:space="preserve">video solution </w:t>
      </w:r>
      <w:r w:rsidR="00CA152C" w:rsidRPr="00700F2A">
        <w:rPr>
          <w:rFonts w:ascii="Arial" w:hAnsi="Arial" w:cs="Arial"/>
          <w:sz w:val="20"/>
          <w:szCs w:val="20"/>
        </w:rPr>
        <w:t xml:space="preserve">adoption – and lack of security evaluations – so common in the early pandemic. </w:t>
      </w:r>
    </w:p>
    <w:p w14:paraId="77AB88CD" w14:textId="6022F0B0" w:rsidR="008E0625" w:rsidRPr="00700F2A" w:rsidRDefault="00CA152C" w:rsidP="00470DB4">
      <w:pPr>
        <w:shd w:val="clear" w:color="auto" w:fill="FFFFFF"/>
        <w:spacing w:before="150" w:after="300" w:line="240" w:lineRule="auto"/>
        <w:outlineLvl w:val="1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sz w:val="20"/>
          <w:szCs w:val="20"/>
        </w:rPr>
        <w:t>The</w:t>
      </w:r>
      <w:r w:rsidR="00A920EB" w:rsidRPr="00700F2A">
        <w:rPr>
          <w:rFonts w:ascii="Arial" w:hAnsi="Arial" w:cs="Arial"/>
          <w:sz w:val="20"/>
          <w:szCs w:val="20"/>
        </w:rPr>
        <w:t xml:space="preserve"> re</w:t>
      </w:r>
      <w:r w:rsidR="00E02EB3" w:rsidRPr="00700F2A">
        <w:rPr>
          <w:rFonts w:ascii="Arial" w:hAnsi="Arial" w:cs="Arial"/>
          <w:sz w:val="20"/>
          <w:szCs w:val="20"/>
        </w:rPr>
        <w:t>percussions of a breach</w:t>
      </w:r>
      <w:r w:rsidRPr="00700F2A">
        <w:rPr>
          <w:rFonts w:ascii="Arial" w:hAnsi="Arial" w:cs="Arial"/>
          <w:sz w:val="20"/>
          <w:szCs w:val="20"/>
        </w:rPr>
        <w:t xml:space="preserve"> extend beyond </w:t>
      </w:r>
      <w:r w:rsidR="00470DB4" w:rsidRPr="00700F2A">
        <w:rPr>
          <w:rFonts w:ascii="Arial" w:hAnsi="Arial" w:cs="Arial"/>
          <w:sz w:val="20"/>
          <w:szCs w:val="20"/>
        </w:rPr>
        <w:t xml:space="preserve">the cost of </w:t>
      </w:r>
      <w:r w:rsidRPr="00700F2A">
        <w:rPr>
          <w:rFonts w:ascii="Arial" w:hAnsi="Arial" w:cs="Arial"/>
          <w:sz w:val="20"/>
          <w:szCs w:val="20"/>
        </w:rPr>
        <w:t>data theft and HIPAA fines for non-compliance</w:t>
      </w:r>
      <w:r w:rsidR="00A920EB" w:rsidRPr="00700F2A">
        <w:rPr>
          <w:rFonts w:ascii="Arial" w:hAnsi="Arial" w:cs="Arial"/>
          <w:sz w:val="20"/>
          <w:szCs w:val="20"/>
        </w:rPr>
        <w:t>.</w:t>
      </w:r>
      <w:r w:rsidRPr="00700F2A">
        <w:rPr>
          <w:rFonts w:ascii="Arial" w:hAnsi="Arial" w:cs="Arial"/>
          <w:sz w:val="20"/>
          <w:szCs w:val="20"/>
        </w:rPr>
        <w:t xml:space="preserve"> </w:t>
      </w:r>
      <w:hyperlink r:id="rId15" w:history="1">
        <w:r w:rsidRPr="00700F2A">
          <w:rPr>
            <w:rStyle w:val="Hyperlink"/>
            <w:rFonts w:ascii="Arial" w:hAnsi="Arial" w:cs="Arial"/>
            <w:sz w:val="20"/>
            <w:szCs w:val="20"/>
          </w:rPr>
          <w:t>Ransomware attack</w:t>
        </w:r>
        <w:r w:rsidR="00470DB4" w:rsidRPr="00700F2A">
          <w:rPr>
            <w:rStyle w:val="Hyperlink"/>
            <w:rFonts w:ascii="Arial" w:hAnsi="Arial" w:cs="Arial"/>
            <w:sz w:val="20"/>
            <w:szCs w:val="20"/>
          </w:rPr>
          <w:t>s have</w:t>
        </w:r>
        <w:r w:rsidRPr="00700F2A">
          <w:rPr>
            <w:rStyle w:val="Hyperlink"/>
            <w:rFonts w:ascii="Arial" w:hAnsi="Arial" w:cs="Arial"/>
            <w:sz w:val="20"/>
            <w:szCs w:val="20"/>
          </w:rPr>
          <w:t xml:space="preserve"> shut down entire hospital</w:t>
        </w:r>
        <w:r w:rsidR="00470DB4" w:rsidRPr="00700F2A">
          <w:rPr>
            <w:rStyle w:val="Hyperlink"/>
            <w:rFonts w:ascii="Arial" w:hAnsi="Arial" w:cs="Arial"/>
            <w:sz w:val="20"/>
            <w:szCs w:val="20"/>
          </w:rPr>
          <w:t>s</w:t>
        </w:r>
      </w:hyperlink>
      <w:r w:rsidR="00470DB4" w:rsidRPr="00700F2A">
        <w:rPr>
          <w:rFonts w:ascii="Arial" w:hAnsi="Arial" w:cs="Arial"/>
          <w:sz w:val="20"/>
          <w:szCs w:val="20"/>
        </w:rPr>
        <w:t xml:space="preserve">, forcing them to </w:t>
      </w:r>
      <w:r w:rsidR="00CB222C" w:rsidRPr="00700F2A">
        <w:rPr>
          <w:rFonts w:ascii="Arial" w:hAnsi="Arial" w:cs="Arial"/>
          <w:sz w:val="20"/>
          <w:szCs w:val="20"/>
        </w:rPr>
        <w:t>reroute</w:t>
      </w:r>
      <w:r w:rsidR="00470DB4" w:rsidRPr="00700F2A">
        <w:rPr>
          <w:rFonts w:ascii="Arial" w:hAnsi="Arial" w:cs="Arial"/>
          <w:sz w:val="20"/>
          <w:szCs w:val="20"/>
        </w:rPr>
        <w:t xml:space="preserve"> patients to other facilities for care. Even just one incident in a private practice can frighten patients into terminating their provider relationship or avoiding virtual care in the future</w:t>
      </w:r>
      <w:r w:rsidR="008E0625" w:rsidRPr="00700F2A">
        <w:rPr>
          <w:rFonts w:ascii="Arial" w:hAnsi="Arial" w:cs="Arial"/>
          <w:sz w:val="20"/>
          <w:szCs w:val="20"/>
        </w:rPr>
        <w:t xml:space="preserve">. </w:t>
      </w:r>
    </w:p>
    <w:p w14:paraId="1BF3A904" w14:textId="2084A6E9" w:rsidR="00CA152C" w:rsidRPr="00700F2A" w:rsidRDefault="00470DB4" w:rsidP="00470DB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sz w:val="20"/>
          <w:szCs w:val="20"/>
        </w:rPr>
        <w:lastRenderedPageBreak/>
        <w:t xml:space="preserve">The </w:t>
      </w:r>
      <w:r w:rsidR="00CB222C" w:rsidRPr="00700F2A">
        <w:rPr>
          <w:rFonts w:ascii="Arial" w:hAnsi="Arial" w:cs="Arial"/>
          <w:sz w:val="20"/>
          <w:szCs w:val="20"/>
        </w:rPr>
        <w:t>answer</w:t>
      </w:r>
      <w:r w:rsidRPr="00700F2A">
        <w:rPr>
          <w:rFonts w:ascii="Arial" w:hAnsi="Arial" w:cs="Arial"/>
          <w:sz w:val="20"/>
          <w:szCs w:val="20"/>
        </w:rPr>
        <w:t>?</w:t>
      </w:r>
      <w:r w:rsidR="00FE6CE1" w:rsidRPr="00700F2A">
        <w:rPr>
          <w:rFonts w:ascii="Arial" w:hAnsi="Arial" w:cs="Arial"/>
          <w:sz w:val="20"/>
          <w:szCs w:val="20"/>
        </w:rPr>
        <w:t xml:space="preserve"> Sticking to</w:t>
      </w:r>
      <w:r w:rsidRPr="00700F2A">
        <w:rPr>
          <w:rFonts w:ascii="Arial" w:hAnsi="Arial" w:cs="Arial"/>
          <w:sz w:val="20"/>
          <w:szCs w:val="20"/>
        </w:rPr>
        <w:t xml:space="preserve"> telemedicine solutions </w:t>
      </w:r>
      <w:r w:rsidR="00A23224" w:rsidRPr="00700F2A">
        <w:rPr>
          <w:rFonts w:ascii="Arial" w:hAnsi="Arial" w:cs="Arial"/>
          <w:sz w:val="20"/>
          <w:szCs w:val="20"/>
        </w:rPr>
        <w:t xml:space="preserve">with proven security and </w:t>
      </w:r>
      <w:r w:rsidR="00CB222C" w:rsidRPr="00700F2A">
        <w:rPr>
          <w:rFonts w:ascii="Arial" w:hAnsi="Arial" w:cs="Arial"/>
          <w:sz w:val="20"/>
          <w:szCs w:val="20"/>
        </w:rPr>
        <w:t xml:space="preserve">long-term </w:t>
      </w:r>
      <w:r w:rsidR="00A23224" w:rsidRPr="00700F2A">
        <w:rPr>
          <w:rFonts w:ascii="Arial" w:hAnsi="Arial" w:cs="Arial"/>
          <w:sz w:val="20"/>
          <w:szCs w:val="20"/>
        </w:rPr>
        <w:t xml:space="preserve">stability. As the report authors put it, </w:t>
      </w:r>
      <w:r w:rsidR="00CA152C" w:rsidRPr="00700F2A">
        <w:rPr>
          <w:rFonts w:ascii="Arial" w:hAnsi="Arial" w:cs="Arial"/>
          <w:sz w:val="20"/>
          <w:szCs w:val="20"/>
        </w:rPr>
        <w:t>"</w:t>
      </w:r>
      <w:r w:rsidR="00A23224" w:rsidRPr="00700F2A">
        <w:rPr>
          <w:rFonts w:ascii="Arial" w:hAnsi="Arial" w:cs="Arial"/>
          <w:sz w:val="20"/>
          <w:szCs w:val="20"/>
        </w:rPr>
        <w:t>I</w:t>
      </w:r>
      <w:r w:rsidR="00CA152C" w:rsidRPr="00700F2A">
        <w:rPr>
          <w:rFonts w:ascii="Arial" w:hAnsi="Arial" w:cs="Arial"/>
          <w:sz w:val="20"/>
          <w:szCs w:val="20"/>
        </w:rPr>
        <w:t>n order for the healthcare industry to protect patient and provider data, vetting and enforcing security protocols around new technology providers remains paramount</w:t>
      </w:r>
      <w:r w:rsidR="00A23224" w:rsidRPr="00700F2A">
        <w:rPr>
          <w:rFonts w:ascii="Arial" w:hAnsi="Arial" w:cs="Arial"/>
          <w:sz w:val="20"/>
          <w:szCs w:val="20"/>
        </w:rPr>
        <w:t>.”</w:t>
      </w:r>
    </w:p>
    <w:p w14:paraId="4997C38F" w14:textId="56317537" w:rsidR="0063769C" w:rsidRPr="00700F2A" w:rsidRDefault="0063769C" w:rsidP="00470DB4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sz w:val="20"/>
          <w:szCs w:val="20"/>
        </w:rPr>
      </w:pPr>
      <w:r w:rsidRPr="00700F2A">
        <w:rPr>
          <w:rFonts w:ascii="Arial" w:hAnsi="Arial" w:cs="Arial"/>
          <w:sz w:val="20"/>
          <w:szCs w:val="20"/>
        </w:rPr>
        <w:t xml:space="preserve">That’s a </w:t>
      </w:r>
      <w:r w:rsidR="000B3B13" w:rsidRPr="00700F2A">
        <w:rPr>
          <w:rFonts w:ascii="Arial" w:hAnsi="Arial" w:cs="Arial"/>
          <w:sz w:val="20"/>
          <w:szCs w:val="20"/>
        </w:rPr>
        <w:t>reality</w:t>
      </w:r>
      <w:r w:rsidRPr="00700F2A">
        <w:rPr>
          <w:rFonts w:ascii="Arial" w:hAnsi="Arial" w:cs="Arial"/>
          <w:sz w:val="20"/>
          <w:szCs w:val="20"/>
        </w:rPr>
        <w:t xml:space="preserve"> GlobalMed has long understood, and it’s why we are the most secure telemedicine solution in the industry.</w:t>
      </w:r>
    </w:p>
    <w:p w14:paraId="672041A9" w14:textId="3E46C4CA" w:rsidR="00B03978" w:rsidRPr="00700F2A" w:rsidRDefault="00B03978" w:rsidP="00B03978">
      <w:pPr>
        <w:shd w:val="clear" w:color="auto" w:fill="FFFFFF"/>
        <w:spacing w:after="0" w:line="240" w:lineRule="auto"/>
        <w:outlineLvl w:val="1"/>
        <w:rPr>
          <w:rFonts w:ascii="Arial" w:hAnsi="Arial" w:cs="Arial"/>
          <w:b/>
          <w:bCs/>
          <w:color w:val="333333"/>
          <w:sz w:val="24"/>
          <w:szCs w:val="24"/>
        </w:rPr>
      </w:pPr>
      <w:r w:rsidRPr="00700F2A">
        <w:rPr>
          <w:rFonts w:ascii="Arial" w:hAnsi="Arial" w:cs="Arial"/>
          <w:b/>
          <w:bCs/>
          <w:color w:val="333333"/>
          <w:sz w:val="24"/>
          <w:szCs w:val="24"/>
        </w:rPr>
        <w:t>Tested</w:t>
      </w:r>
      <w:r w:rsidR="000B3B13" w:rsidRPr="00700F2A">
        <w:rPr>
          <w:rFonts w:ascii="Arial" w:hAnsi="Arial" w:cs="Arial"/>
          <w:b/>
          <w:bCs/>
          <w:color w:val="333333"/>
          <w:sz w:val="24"/>
          <w:szCs w:val="24"/>
        </w:rPr>
        <w:t xml:space="preserve"> and</w:t>
      </w:r>
      <w:r w:rsidRPr="00700F2A">
        <w:rPr>
          <w:rFonts w:ascii="Arial" w:hAnsi="Arial" w:cs="Arial"/>
          <w:b/>
          <w:bCs/>
          <w:color w:val="333333"/>
          <w:sz w:val="24"/>
          <w:szCs w:val="24"/>
        </w:rPr>
        <w:t xml:space="preserve"> Trusted: GlobalMed Security</w:t>
      </w:r>
    </w:p>
    <w:p w14:paraId="430197EB" w14:textId="7093B9CE" w:rsidR="00820E5F" w:rsidRPr="00700F2A" w:rsidRDefault="00BC37D1" w:rsidP="00BC37D1">
      <w:pPr>
        <w:shd w:val="clear" w:color="auto" w:fill="FFFFFF"/>
        <w:spacing w:before="150" w:after="300" w:line="240" w:lineRule="auto"/>
        <w:outlineLvl w:val="1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When it comes to 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telemedicine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security, GlobalMed operates a 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>world-class infosec program. Our p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eople-first approach focus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>e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s not only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on 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risk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but resilience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>, with a robust and sustainable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culture of security. 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Our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programs includ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e risk management, c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ontinuity of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o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p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eration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s,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i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ncident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r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esponse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, v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ulnerability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and p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atch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m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anagement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, and r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esiliency by design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– with ongoing role-based security awareness education to keep our expertise </w:t>
      </w:r>
      <w:r w:rsidR="00B03978" w:rsidRPr="00700F2A">
        <w:rPr>
          <w:rFonts w:ascii="Arial" w:eastAsia="Times New Roman" w:hAnsi="Arial" w:cs="Arial"/>
          <w:color w:val="222222"/>
          <w:sz w:val="20"/>
          <w:szCs w:val="20"/>
        </w:rPr>
        <w:t>sharp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14:paraId="26E02122" w14:textId="2DBA2E7C" w:rsidR="00166AE5" w:rsidRPr="00700F2A" w:rsidRDefault="00BC37D1" w:rsidP="00166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To ensure our </w:t>
      </w:r>
      <w:r w:rsidR="000B530D" w:rsidRPr="00700F2A">
        <w:rPr>
          <w:rFonts w:ascii="Arial" w:eastAsia="Times New Roman" w:hAnsi="Arial" w:cs="Arial"/>
          <w:color w:val="222222"/>
          <w:sz w:val="20"/>
          <w:szCs w:val="20"/>
        </w:rPr>
        <w:t>customers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are protected from 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even the latest threats, o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>ur s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ecurity stack is </w:t>
      </w:r>
      <w:r w:rsidR="009F7119" w:rsidRPr="00700F2A">
        <w:rPr>
          <w:rFonts w:ascii="Arial" w:eastAsia="Times New Roman" w:hAnsi="Arial" w:cs="Arial"/>
          <w:color w:val="222222"/>
          <w:sz w:val="20"/>
          <w:szCs w:val="20"/>
        </w:rPr>
        <w:t>tightly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aligned to NIST and include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s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controls from FedRAMP, HIPAA, ISO, SOC 2 and other industry standards. 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When it comes to</w:t>
      </w:r>
      <w:r w:rsidR="000B530D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our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security 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architecture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, GlobalMed solutions protect you with</w:t>
      </w:r>
      <w:r w:rsidR="00820E5F" w:rsidRPr="00700F2A">
        <w:rPr>
          <w:rFonts w:ascii="Arial" w:eastAsia="Times New Roman" w:hAnsi="Arial" w:cs="Arial"/>
          <w:color w:val="222222"/>
          <w:sz w:val="20"/>
          <w:szCs w:val="20"/>
        </w:rPr>
        <w:t>:</w:t>
      </w:r>
    </w:p>
    <w:p w14:paraId="4AEC83D0" w14:textId="2A402A3D" w:rsidR="00820E5F" w:rsidRPr="00700F2A" w:rsidRDefault="00820E5F" w:rsidP="00F3432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Strong encryption in transit and at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rest</w:t>
      </w:r>
    </w:p>
    <w:p w14:paraId="6E8993B5" w14:textId="1D423984" w:rsidR="00820E5F" w:rsidRPr="00700F2A" w:rsidRDefault="00820E5F" w:rsidP="00820E5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Multi-factor authentication 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(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MFA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7F63E4FF" w14:textId="77777777" w:rsidR="00166AE5" w:rsidRPr="00700F2A" w:rsidRDefault="00166AE5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Vulnerability scanning</w:t>
      </w:r>
    </w:p>
    <w:p w14:paraId="36550E10" w14:textId="2EA6E1F5" w:rsidR="00166AE5" w:rsidRPr="00700F2A" w:rsidRDefault="00166AE5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SIEM and </w:t>
      </w:r>
      <w:r w:rsidR="00F3432F" w:rsidRPr="00700F2A">
        <w:rPr>
          <w:rFonts w:ascii="Arial" w:eastAsia="Times New Roman" w:hAnsi="Arial" w:cs="Arial"/>
          <w:color w:val="222222"/>
          <w:sz w:val="20"/>
          <w:szCs w:val="20"/>
        </w:rPr>
        <w:t>a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nalytics</w:t>
      </w:r>
    </w:p>
    <w:p w14:paraId="7809465D" w14:textId="49130D44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Intrusion Detection Systems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IDS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Intrusion Prevention Systems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IPS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 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>– No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rth and South focus</w:t>
      </w:r>
    </w:p>
    <w:p w14:paraId="16DD53BA" w14:textId="579F8FF2" w:rsidR="00166AE5" w:rsidRPr="00700F2A" w:rsidRDefault="005641F6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Endpoint security, Endpoint Detection and Response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EDR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Managed Detection and Remediation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MDR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File Integrity Monitoring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FIM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43E1B673" w14:textId="39D06FE6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Mobile 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>D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evice 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>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anagement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MDM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4521363D" w14:textId="3CFD95F0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Privileged Identity Management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PIM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and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Privileged Access Management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PAM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– East and West focus</w:t>
      </w:r>
    </w:p>
    <w:p w14:paraId="262AA18C" w14:textId="7D77B432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Data Loss Prevention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DLP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4C84341A" w14:textId="008C6171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Identity and Access Management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IDAM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 governance tools</w:t>
      </w:r>
    </w:p>
    <w:p w14:paraId="585FEC01" w14:textId="34B47CD2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Web Application Firewalls (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WAF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)</w:t>
      </w:r>
    </w:p>
    <w:p w14:paraId="72EDB814" w14:textId="31CF2DDA" w:rsidR="00166AE5" w:rsidRPr="00700F2A" w:rsidRDefault="00F3432F" w:rsidP="00166A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Third-</w:t>
      </w:r>
      <w:r w:rsidR="00166AE5" w:rsidRPr="00700F2A">
        <w:rPr>
          <w:rFonts w:ascii="Arial" w:eastAsia="Times New Roman" w:hAnsi="Arial" w:cs="Arial"/>
          <w:color w:val="222222"/>
          <w:sz w:val="20"/>
          <w:szCs w:val="20"/>
        </w:rPr>
        <w:t>party penetration testing</w:t>
      </w:r>
    </w:p>
    <w:p w14:paraId="541AF5CA" w14:textId="6CBE9887" w:rsidR="00166AE5" w:rsidRPr="00700F2A" w:rsidRDefault="00166AE5" w:rsidP="00166A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Finally, we live in a world of “trust but verify.” </w:t>
      </w:r>
      <w:r w:rsidR="00FE6CE1"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As part of our commitment to compliance, 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GlobalMed has these </w:t>
      </w:r>
      <w:r w:rsidR="00CB222C" w:rsidRPr="00700F2A">
        <w:rPr>
          <w:rFonts w:ascii="Arial" w:eastAsia="Times New Roman" w:hAnsi="Arial" w:cs="Arial"/>
          <w:color w:val="222222"/>
          <w:sz w:val="20"/>
          <w:szCs w:val="20"/>
        </w:rPr>
        <w:t>third-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 xml:space="preserve">party attestations </w:t>
      </w:r>
      <w:r w:rsidR="00CB222C" w:rsidRPr="00700F2A">
        <w:rPr>
          <w:rFonts w:ascii="Arial" w:eastAsia="Times New Roman" w:hAnsi="Arial" w:cs="Arial"/>
          <w:color w:val="222222"/>
          <w:sz w:val="20"/>
          <w:szCs w:val="20"/>
        </w:rPr>
        <w:t>p</w:t>
      </w:r>
      <w:r w:rsidRPr="00700F2A">
        <w:rPr>
          <w:rFonts w:ascii="Arial" w:eastAsia="Times New Roman" w:hAnsi="Arial" w:cs="Arial"/>
          <w:color w:val="222222"/>
          <w:sz w:val="20"/>
          <w:szCs w:val="20"/>
        </w:rPr>
        <w:t>resently in flight:</w:t>
      </w:r>
    </w:p>
    <w:p w14:paraId="29542D56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NIST 800-53 Rev. 5 HIGH</w:t>
      </w:r>
    </w:p>
    <w:p w14:paraId="1D5C05C0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SOC 2 Type II</w:t>
      </w:r>
    </w:p>
    <w:p w14:paraId="6E55517E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ISO 27001</w:t>
      </w:r>
    </w:p>
    <w:p w14:paraId="5A243832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FedRAMP HIGH</w:t>
      </w:r>
    </w:p>
    <w:p w14:paraId="3A8CC5E2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NIST 800-66 – HIPAA</w:t>
      </w:r>
    </w:p>
    <w:p w14:paraId="45904246" w14:textId="77777777" w:rsidR="00166AE5" w:rsidRPr="00700F2A" w:rsidRDefault="00166AE5" w:rsidP="00166AE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700F2A">
        <w:rPr>
          <w:rFonts w:ascii="Arial" w:eastAsia="Times New Roman" w:hAnsi="Arial" w:cs="Arial"/>
          <w:color w:val="222222"/>
          <w:sz w:val="20"/>
          <w:szCs w:val="20"/>
        </w:rPr>
        <w:t>FDA 21 CFR Part 11 GxP</w:t>
      </w:r>
    </w:p>
    <w:p w14:paraId="05C2811F" w14:textId="6EA0E425" w:rsidR="000B3B13" w:rsidRPr="00700F2A" w:rsidRDefault="000B3B13" w:rsidP="000B3B13">
      <w:pPr>
        <w:rPr>
          <w:rFonts w:ascii="Arial" w:hAnsi="Arial" w:cs="Arial"/>
          <w:b/>
          <w:bCs/>
          <w:sz w:val="24"/>
          <w:szCs w:val="24"/>
        </w:rPr>
      </w:pPr>
      <w:r w:rsidRPr="00700F2A">
        <w:rPr>
          <w:rFonts w:ascii="Arial" w:hAnsi="Arial" w:cs="Arial"/>
          <w:b/>
          <w:bCs/>
          <w:sz w:val="24"/>
          <w:szCs w:val="24"/>
        </w:rPr>
        <w:t>Locking Down Protection and Power</w:t>
      </w:r>
    </w:p>
    <w:p w14:paraId="0FAB2334" w14:textId="5068AE39" w:rsidR="009C281C" w:rsidRPr="00700F2A" w:rsidRDefault="007C7F61" w:rsidP="003012D1">
      <w:pPr>
        <w:rPr>
          <w:rFonts w:ascii="Arial" w:hAnsi="Arial" w:cs="Arial"/>
          <w:sz w:val="20"/>
          <w:szCs w:val="20"/>
        </w:rPr>
      </w:pPr>
      <w:r w:rsidRPr="00700F2A">
        <w:rPr>
          <w:rFonts w:ascii="Arial" w:eastAsia="Times New Roman" w:hAnsi="Arial" w:cs="Arial"/>
          <w:sz w:val="20"/>
          <w:szCs w:val="20"/>
        </w:rPr>
        <w:t xml:space="preserve">Earlier this year, we predicted that the COVID-19 pandemic would spark </w:t>
      </w:r>
      <w:hyperlink r:id="rId16" w:history="1">
        <w:r w:rsidRPr="00700F2A">
          <w:rPr>
            <w:rStyle w:val="Hyperlink"/>
            <w:rFonts w:ascii="Arial" w:eastAsia="Times New Roman" w:hAnsi="Arial" w:cs="Arial"/>
            <w:sz w:val="20"/>
            <w:szCs w:val="20"/>
          </w:rPr>
          <w:t>more innovation and telemedicine adoption in healthcare.</w:t>
        </w:r>
      </w:hyperlink>
      <w:r w:rsidRPr="00700F2A">
        <w:rPr>
          <w:rFonts w:ascii="Arial" w:eastAsia="Times New Roman" w:hAnsi="Arial" w:cs="Arial"/>
          <w:sz w:val="20"/>
          <w:szCs w:val="20"/>
        </w:rPr>
        <w:t xml:space="preserve"> That prediction came true</w:t>
      </w:r>
      <w:r w:rsidR="003012D1" w:rsidRPr="00700F2A">
        <w:rPr>
          <w:rFonts w:ascii="Arial" w:eastAsia="Times New Roman" w:hAnsi="Arial" w:cs="Arial"/>
          <w:sz w:val="20"/>
          <w:szCs w:val="20"/>
        </w:rPr>
        <w:t>,</w:t>
      </w:r>
      <w:r w:rsidRPr="00700F2A">
        <w:rPr>
          <w:rFonts w:ascii="Arial" w:eastAsia="Times New Roman" w:hAnsi="Arial" w:cs="Arial"/>
          <w:sz w:val="20"/>
          <w:szCs w:val="20"/>
        </w:rPr>
        <w:t xml:space="preserve"> so here’s another one. As 2</w:t>
      </w:r>
      <w:r w:rsidR="00033ED0" w:rsidRPr="00700F2A">
        <w:rPr>
          <w:rFonts w:ascii="Arial" w:eastAsia="Times New Roman" w:hAnsi="Arial" w:cs="Arial"/>
          <w:sz w:val="20"/>
          <w:szCs w:val="20"/>
        </w:rPr>
        <w:t>021 approaches, we still don’t know exactly how th</w:t>
      </w:r>
      <w:r w:rsidRPr="00700F2A">
        <w:rPr>
          <w:rFonts w:ascii="Arial" w:eastAsia="Times New Roman" w:hAnsi="Arial" w:cs="Arial"/>
          <w:sz w:val="20"/>
          <w:szCs w:val="20"/>
        </w:rPr>
        <w:t>e rest of this</w:t>
      </w:r>
      <w:r w:rsidR="00033ED0" w:rsidRPr="00700F2A">
        <w:rPr>
          <w:rFonts w:ascii="Arial" w:eastAsia="Times New Roman" w:hAnsi="Arial" w:cs="Arial"/>
          <w:sz w:val="20"/>
          <w:szCs w:val="20"/>
        </w:rPr>
        <w:t xml:space="preserve"> pandemic will play out</w:t>
      </w:r>
      <w:r w:rsidRPr="00700F2A">
        <w:rPr>
          <w:rFonts w:ascii="Arial" w:eastAsia="Times New Roman" w:hAnsi="Arial" w:cs="Arial"/>
          <w:sz w:val="20"/>
          <w:szCs w:val="20"/>
        </w:rPr>
        <w:t>, though the latest vaccine news has been promising. But we do</w:t>
      </w:r>
      <w:r w:rsidR="003012D1" w:rsidRPr="00700F2A">
        <w:rPr>
          <w:rFonts w:ascii="Arial" w:eastAsia="Times New Roman" w:hAnsi="Arial" w:cs="Arial"/>
          <w:sz w:val="20"/>
          <w:szCs w:val="20"/>
        </w:rPr>
        <w:t xml:space="preserve"> know</w:t>
      </w:r>
      <w:r w:rsidRPr="00700F2A">
        <w:rPr>
          <w:rFonts w:ascii="Arial" w:eastAsia="Times New Roman" w:hAnsi="Arial" w:cs="Arial"/>
          <w:sz w:val="20"/>
          <w:szCs w:val="20"/>
        </w:rPr>
        <w:t xml:space="preserve"> that attackers will</w:t>
      </w:r>
      <w:r w:rsidR="00F60928" w:rsidRPr="00700F2A">
        <w:rPr>
          <w:rFonts w:ascii="Arial" w:eastAsia="Times New Roman" w:hAnsi="Arial" w:cs="Arial"/>
          <w:sz w:val="20"/>
          <w:szCs w:val="20"/>
        </w:rPr>
        <w:t xml:space="preserve"> keep trying </w:t>
      </w:r>
      <w:r w:rsidRPr="00700F2A">
        <w:rPr>
          <w:rFonts w:ascii="Arial" w:eastAsia="Times New Roman" w:hAnsi="Arial" w:cs="Arial"/>
          <w:sz w:val="20"/>
          <w:szCs w:val="20"/>
        </w:rPr>
        <w:t>to</w:t>
      </w:r>
      <w:r w:rsidR="000B530D" w:rsidRPr="00700F2A">
        <w:rPr>
          <w:rFonts w:ascii="Arial" w:eastAsia="Times New Roman" w:hAnsi="Arial" w:cs="Arial"/>
          <w:sz w:val="20"/>
          <w:szCs w:val="20"/>
        </w:rPr>
        <w:t xml:space="preserve"> infiltrate </w:t>
      </w:r>
      <w:r w:rsidRPr="00700F2A">
        <w:rPr>
          <w:rFonts w:ascii="Arial" w:eastAsia="Times New Roman" w:hAnsi="Arial" w:cs="Arial"/>
          <w:sz w:val="20"/>
          <w:szCs w:val="20"/>
        </w:rPr>
        <w:t>healthcare</w:t>
      </w:r>
      <w:r w:rsidR="000B530D" w:rsidRPr="00700F2A">
        <w:rPr>
          <w:rFonts w:ascii="Arial" w:eastAsia="Times New Roman" w:hAnsi="Arial" w:cs="Arial"/>
          <w:sz w:val="20"/>
          <w:szCs w:val="20"/>
        </w:rPr>
        <w:t xml:space="preserve"> organization</w:t>
      </w:r>
      <w:r w:rsidRPr="00700F2A">
        <w:rPr>
          <w:rFonts w:ascii="Arial" w:eastAsia="Times New Roman" w:hAnsi="Arial" w:cs="Arial"/>
          <w:sz w:val="20"/>
          <w:szCs w:val="20"/>
        </w:rPr>
        <w:t>s – and we</w:t>
      </w:r>
      <w:r w:rsidR="003012D1" w:rsidRPr="00700F2A">
        <w:rPr>
          <w:rFonts w:ascii="Arial" w:eastAsia="Times New Roman" w:hAnsi="Arial" w:cs="Arial"/>
          <w:sz w:val="20"/>
          <w:szCs w:val="20"/>
        </w:rPr>
        <w:t xml:space="preserve"> know for a fact</w:t>
      </w:r>
      <w:r w:rsidRPr="00700F2A">
        <w:rPr>
          <w:rFonts w:ascii="Arial" w:eastAsia="Times New Roman" w:hAnsi="Arial" w:cs="Arial"/>
          <w:sz w:val="20"/>
          <w:szCs w:val="20"/>
        </w:rPr>
        <w:t xml:space="preserve"> that virtual care is here to stay. </w:t>
      </w:r>
      <w:r w:rsidR="009C281C" w:rsidRPr="00700F2A">
        <w:rPr>
          <w:rFonts w:ascii="Arial" w:eastAsia="Times New Roman" w:hAnsi="Arial" w:cs="Arial"/>
          <w:sz w:val="20"/>
          <w:szCs w:val="20"/>
        </w:rPr>
        <w:t xml:space="preserve">Adopting a secure telemedicine solution is </w:t>
      </w:r>
      <w:r w:rsidR="00FE6CE1" w:rsidRPr="00700F2A">
        <w:rPr>
          <w:rFonts w:ascii="Arial" w:eastAsia="Times New Roman" w:hAnsi="Arial" w:cs="Arial"/>
          <w:sz w:val="20"/>
          <w:szCs w:val="20"/>
        </w:rPr>
        <w:t>the</w:t>
      </w:r>
      <w:r w:rsidR="009C281C" w:rsidRPr="00700F2A">
        <w:rPr>
          <w:rFonts w:ascii="Arial" w:eastAsia="Times New Roman" w:hAnsi="Arial" w:cs="Arial"/>
          <w:sz w:val="20"/>
          <w:szCs w:val="20"/>
        </w:rPr>
        <w:t xml:space="preserve"> only path </w:t>
      </w:r>
      <w:r w:rsidR="00FE6CE1" w:rsidRPr="00700F2A">
        <w:rPr>
          <w:rFonts w:ascii="Arial" w:eastAsia="Times New Roman" w:hAnsi="Arial" w:cs="Arial"/>
          <w:sz w:val="20"/>
          <w:szCs w:val="20"/>
        </w:rPr>
        <w:t>to protecting</w:t>
      </w:r>
      <w:r w:rsidR="009C281C" w:rsidRPr="00700F2A">
        <w:rPr>
          <w:rFonts w:ascii="Arial" w:eastAsia="Times New Roman" w:hAnsi="Arial" w:cs="Arial"/>
          <w:sz w:val="20"/>
          <w:szCs w:val="20"/>
        </w:rPr>
        <w:t xml:space="preserve"> both patients and the healthcare organizations that care for them.</w:t>
      </w:r>
    </w:p>
    <w:sectPr w:rsidR="009C281C" w:rsidRPr="00700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0556"/>
    <w:multiLevelType w:val="multilevel"/>
    <w:tmpl w:val="6C94C098"/>
    <w:lvl w:ilvl="0">
      <w:start w:val="1"/>
      <w:numFmt w:val="decimal"/>
      <w:lvlText w:val="%1)"/>
      <w:lvlJc w:val="left"/>
      <w:pPr>
        <w:ind w:left="54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6E3836"/>
    <w:multiLevelType w:val="multilevel"/>
    <w:tmpl w:val="60AA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D84C13"/>
    <w:multiLevelType w:val="hybridMultilevel"/>
    <w:tmpl w:val="57141084"/>
    <w:lvl w:ilvl="0" w:tplc="D1C4E3E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E1847"/>
    <w:multiLevelType w:val="hybridMultilevel"/>
    <w:tmpl w:val="45320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01750"/>
    <w:multiLevelType w:val="multilevel"/>
    <w:tmpl w:val="1F2C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507206"/>
    <w:multiLevelType w:val="hybridMultilevel"/>
    <w:tmpl w:val="4C68B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24C"/>
    <w:multiLevelType w:val="hybridMultilevel"/>
    <w:tmpl w:val="C33C7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FD0A68"/>
    <w:multiLevelType w:val="multilevel"/>
    <w:tmpl w:val="B5284F92"/>
    <w:lvl w:ilvl="0">
      <w:start w:val="1"/>
      <w:numFmt w:val="decimal"/>
      <w:lvlText w:val="%1)"/>
      <w:lvlJc w:val="left"/>
      <w:pPr>
        <w:ind w:left="54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9021FAB"/>
    <w:multiLevelType w:val="hybridMultilevel"/>
    <w:tmpl w:val="EB88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6F614">
      <w:numFmt w:val="bullet"/>
      <w:lvlText w:val="–"/>
      <w:lvlJc w:val="left"/>
      <w:pPr>
        <w:ind w:left="1440" w:hanging="360"/>
      </w:pPr>
      <w:rPr>
        <w:rFonts w:ascii="Cambria" w:eastAsiaTheme="minorHAnsi" w:hAnsi="Cambria" w:cstheme="minorBidi" w:hint="default"/>
        <w:color w:val="000000" w:themeColor="text1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F65CB"/>
    <w:multiLevelType w:val="hybridMultilevel"/>
    <w:tmpl w:val="70AAB1C0"/>
    <w:lvl w:ilvl="0" w:tplc="0828409E">
      <w:start w:val="1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113B9"/>
    <w:multiLevelType w:val="hybridMultilevel"/>
    <w:tmpl w:val="A6B0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B1E63"/>
    <w:multiLevelType w:val="multilevel"/>
    <w:tmpl w:val="05A86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03498412">
    <w:abstractNumId w:val="0"/>
  </w:num>
  <w:num w:numId="2" w16cid:durableId="682319483">
    <w:abstractNumId w:val="5"/>
  </w:num>
  <w:num w:numId="3" w16cid:durableId="1158375659">
    <w:abstractNumId w:val="9"/>
  </w:num>
  <w:num w:numId="4" w16cid:durableId="1732338729">
    <w:abstractNumId w:val="2"/>
  </w:num>
  <w:num w:numId="5" w16cid:durableId="783235870">
    <w:abstractNumId w:val="8"/>
  </w:num>
  <w:num w:numId="6" w16cid:durableId="1841697581">
    <w:abstractNumId w:val="10"/>
  </w:num>
  <w:num w:numId="7" w16cid:durableId="2136898561">
    <w:abstractNumId w:val="7"/>
  </w:num>
  <w:num w:numId="8" w16cid:durableId="1339189593">
    <w:abstractNumId w:val="6"/>
  </w:num>
  <w:num w:numId="9" w16cid:durableId="1307515804">
    <w:abstractNumId w:val="3"/>
  </w:num>
  <w:num w:numId="10" w16cid:durableId="499541778">
    <w:abstractNumId w:val="1"/>
  </w:num>
  <w:num w:numId="11" w16cid:durableId="1572421868">
    <w:abstractNumId w:val="11"/>
  </w:num>
  <w:num w:numId="12" w16cid:durableId="531918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98"/>
    <w:rsid w:val="00012ABB"/>
    <w:rsid w:val="00033ED0"/>
    <w:rsid w:val="00090F5F"/>
    <w:rsid w:val="000B3B13"/>
    <w:rsid w:val="000B530D"/>
    <w:rsid w:val="00166AE5"/>
    <w:rsid w:val="00272ACA"/>
    <w:rsid w:val="00276A43"/>
    <w:rsid w:val="00282BE1"/>
    <w:rsid w:val="002C4021"/>
    <w:rsid w:val="003012D1"/>
    <w:rsid w:val="00321C79"/>
    <w:rsid w:val="00367DDA"/>
    <w:rsid w:val="003A382C"/>
    <w:rsid w:val="00414135"/>
    <w:rsid w:val="00470DB4"/>
    <w:rsid w:val="004818D6"/>
    <w:rsid w:val="005641F6"/>
    <w:rsid w:val="005A0CC0"/>
    <w:rsid w:val="00624812"/>
    <w:rsid w:val="006308AA"/>
    <w:rsid w:val="0063769C"/>
    <w:rsid w:val="00700F2A"/>
    <w:rsid w:val="007C7F61"/>
    <w:rsid w:val="00820E5F"/>
    <w:rsid w:val="008365C3"/>
    <w:rsid w:val="00880A4E"/>
    <w:rsid w:val="00884520"/>
    <w:rsid w:val="008E0625"/>
    <w:rsid w:val="009626A4"/>
    <w:rsid w:val="009C281C"/>
    <w:rsid w:val="009E1E14"/>
    <w:rsid w:val="009F7119"/>
    <w:rsid w:val="00A14671"/>
    <w:rsid w:val="00A23224"/>
    <w:rsid w:val="00A920EB"/>
    <w:rsid w:val="00AB5412"/>
    <w:rsid w:val="00AE7298"/>
    <w:rsid w:val="00B03978"/>
    <w:rsid w:val="00BB344D"/>
    <w:rsid w:val="00BC37D1"/>
    <w:rsid w:val="00BD4F3F"/>
    <w:rsid w:val="00C630B8"/>
    <w:rsid w:val="00CA152C"/>
    <w:rsid w:val="00CB222C"/>
    <w:rsid w:val="00DE0104"/>
    <w:rsid w:val="00DF137F"/>
    <w:rsid w:val="00E02EB3"/>
    <w:rsid w:val="00E73390"/>
    <w:rsid w:val="00EF1342"/>
    <w:rsid w:val="00F3432F"/>
    <w:rsid w:val="00F60928"/>
    <w:rsid w:val="00F61DC1"/>
    <w:rsid w:val="00F95E43"/>
    <w:rsid w:val="00F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27BB"/>
  <w15:chartTrackingRefBased/>
  <w15:docId w15:val="{35B9BF32-59FC-4EF4-9167-BBDC3C2DF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298"/>
  </w:style>
  <w:style w:type="paragraph" w:styleId="Heading2">
    <w:name w:val="heading 2"/>
    <w:basedOn w:val="Normal"/>
    <w:link w:val="Heading2Char"/>
    <w:uiPriority w:val="9"/>
    <w:qFormat/>
    <w:rsid w:val="00884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4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2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29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E729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845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8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84520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845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382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4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3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24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med.com/why-did-it-take-a-pandemic-to-tell-patients-about-telemedicine/" TargetMode="External"/><Relationship Id="rId13" Type="http://schemas.openxmlformats.org/officeDocument/2006/relationships/hyperlink" Target="https://securityscorecard.com/resources/healthcare-industry-telehealth-cybersecurity-risks-repor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pnews.com/article/fbi-warns-ransomware-healthcare-system-548634f03e71a830811d291401651610" TargetMode="External"/><Relationship Id="rId12" Type="http://schemas.openxmlformats.org/officeDocument/2006/relationships/hyperlink" Target="https://www.healthcareitnews.com/news/potential-security-crisis-presented-rapid-telehealth-rollout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lobalmed.com/how-covid-19-is-changing-telemedicine-reimburseme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oa.org/news/practice-management/perfect-your-practice/healthcare-cybersecurity?sso=y" TargetMode="External"/><Relationship Id="rId11" Type="http://schemas.openxmlformats.org/officeDocument/2006/relationships/hyperlink" Target="https://www.bleepingcomputer.com/news/security/over-500-000-zoom-accounts-sold-on-hacker-forums-the-dark-web/" TargetMode="External"/><Relationship Id="rId5" Type="http://schemas.openxmlformats.org/officeDocument/2006/relationships/hyperlink" Target="https://globalmed.com/covid-19-a-catalyst-of-change-for-rural-america/" TargetMode="External"/><Relationship Id="rId15" Type="http://schemas.openxmlformats.org/officeDocument/2006/relationships/hyperlink" Target="https://www.cnn.com/2020/10/28/politics/hospitals-targeted-ransomware-attacks/index.html" TargetMode="External"/><Relationship Id="rId10" Type="http://schemas.openxmlformats.org/officeDocument/2006/relationships/hyperlink" Target="https://blog.barracuda.com/2020/03/26/threat-spotlight-coronavirus-related-phish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initivehc.com/resources/webinars/examining-covid-driven-rise-of-telehealth-with-claims" TargetMode="External"/><Relationship Id="rId14" Type="http://schemas.openxmlformats.org/officeDocument/2006/relationships/hyperlink" Target="https://www.healthcareitnews.com/news/telehealth-biggest-threat-healthcare-cybersecurity-says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Fenyn</dc:creator>
  <cp:keywords/>
  <dc:description/>
  <cp:lastModifiedBy>Valerie Fenyn</cp:lastModifiedBy>
  <cp:revision>3</cp:revision>
  <dcterms:created xsi:type="dcterms:W3CDTF">2020-12-30T17:40:00Z</dcterms:created>
  <dcterms:modified xsi:type="dcterms:W3CDTF">2023-08-02T16:22:00Z</dcterms:modified>
</cp:coreProperties>
</file>